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11 400 vom 30. November 2010</w:t>
      </w:r>
    </w:p>
    <w:p>
      <w:r>
        <w:t>BL Gerichte, 2010-11-30, DE</w:t>
      </w:r>
    </w:p>
    <w:p>
      <w:r>
        <w:rPr>
          <w:b/>
        </w:rPr>
        <w:t xml:space="preserve">Quelle: </w:t>
      </w:r>
      <w:r>
        <w:t>https://mcp.opencaselaw.ch/entscheid/bl_gerichte_810 11 400</w:t>
      </w:r>
    </w:p>
    <w:p>
      <w:r>
        <w:t>FR: BL_GERICHTE 810 11 400 du 30 novembre 2010</w:t>
      </w:r>
    </w:p>
    <w:p>
      <w:r>
        <w:t>IT: BL_GERICHTE 810 11 400 del 30 novembre 2010</w:t>
      </w:r>
    </w:p>
    <w:p>
      <w:pPr>
        <w:pStyle w:val="Heading2"/>
      </w:pPr>
      <w:r>
        <w:t>Regeste</w:t>
      </w:r>
    </w:p>
    <w:p>
      <w:r>
        <w:t>Rückwirkender Anspruch auf Inkonvenienzzulagen auf Ferienlohn (RRB Nr. 1539 vom 08.11.2011)</w:t>
      </w:r>
    </w:p>
    <w:p>
      <w:pPr>
        <w:pStyle w:val="Heading2"/>
      </w:pPr>
      <w:r>
        <w:t>Erwägungen</w:t>
      </w:r>
    </w:p>
    <w:p>
      <w:r>
        <w:rPr>
          <w:b/>
        </w:rPr>
        <w:t>E. 1</w:t>
      </w:r>
    </w:p>
    <w:p>
      <w:r>
        <w:t>Auf die vorliegende form- und fristgerecht eingereichte Beschwerde kann ohne weiteres eingetreten werden.</w:t>
      </w:r>
    </w:p>
    <w:p>
      <w:r>
        <w:rPr>
          <w:b/>
        </w:rPr>
        <w:t>E. 2</w:t>
      </w:r>
    </w:p>
    <w:p>
      <w:r>
        <w:t>In der Beurteilung der vorliegenden gegen den Regierungsratsbeschluss gerichteten verwaltungsgerichtlichen Beschwerde ist die Kognition des Kantonsgerichts gemäss § 45 Abs. 1 lit. a und b des Gesetzes über die Verfassungs- und Verwaltungsprozessordnung (VPO) vom 16. Dezember 1993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dagegen ist dem Kantonsgericht verwehrt (§ 45 Abs. 1 lit. c VPO e contrario). Unbestimmte Rechtsbegriffe hingegen sind der Auslegung zugänglich. Diese Auslegung durch die Verwaltungsbehörden kann vom Kantonsgericht uneingeschränkt überprüft werden ( Ulrich Häfelin / Georg Müller / Felix Uhlmann , Allgemeines Verwaltungsrecht, 6. Auflage, Zürich 2010, Rz 446b). Allerdings ist festzuhalten, dass auch bei unbestimmten Rechtsbegriffen unter Umständen eine gewisse Zurückhaltung bei der Überprüfung durch eine gerichtliche Instanz angezeigt ist ( Häfelin / Müller / Uhlmann , a.a.O., Rz 446c f., mit Hinweisen auf Bundesgerichtsentscheide).</w:t>
      </w:r>
    </w:p>
    <w:p>
      <w:r>
        <w:rPr>
          <w:b/>
        </w:rPr>
        <w:t>E. 3</w:t>
      </w:r>
    </w:p>
    <w:p>
      <w:r>
        <w:t>Vorweg kann festgehalten werden, dass gegen den mit Schreiben vom 19. Juni 2012 verfügten Nichtbeizug der Stellungnahme vom 14. Mai 2008 zu den Verfahrensakten und damit gegen die Verweigerung der Akteneinsicht in dieses Schriftstück keine Einsprache erhoben wurde. Damit gelangt die Verfügung vom 19. Juni 2012 in Rechtskraft, weshalb die genannte Stellungnahme nicht Inhalt der Verfahrensakten bildet.</w:t>
      </w:r>
    </w:p>
    <w:p>
      <w:r>
        <w:rPr>
          <w:b/>
        </w:rPr>
        <w:t>E. 4</w:t>
      </w:r>
    </w:p>
    <w:p>
      <w:r>
        <w:t>Vorliegend umstritten ist, ob der Beschwerdeführer Anspruch auf rückwirkende Auszahlung der Zulagen für regelmässig geleistete Nacht-, Samstags-, Sonntags- und Feiertagsleistung auf den Ferienlohn für die Zeitspanne vom 1. Januar 2004 bis und mit 31. Dezember 2008 hat. Diesbezüglich wird vom Regierungsrat geltend gemacht, dass allfällige Ansprüche jedenfalls gemäss § 56 des Dekrets zum Personalgesetz (Personaldekret) vom 8. Juni 2000 verwirkt oder verjährt wären. Der Beschwerdeführer bringt dagegen vor, die genannte Bestimmung statuiere eine Verjährungsfrist und nicht eine Verwirkungsfrist. Bei einer Verwirkungsfrist handle es sich um einen wesentlichen Inhalt, welcher gemäss § 36 der Verfassung des Kantons Basel-Landschaft (KV) vom 17. Mai 1984 auf Gesetzesstufe zu regeln sei. Beim Personaldekret handle es sich aber nicht um einen Erlass auf Gesetzesstufe. 4.1.1 Die Verwirkung unterscheidet sich von der Verjährung in verschiedenen Punkten. Sie übt volle Rechtswirkung aus, das bedeutet, dass sie unabhängig von einer allfälligen Einrede vom Gericht immer von Amtes wegen geprüft wird. Verwirkungsfristen können nicht aufgehoben oder unterbrochen werden. Mit der Verwirkung geht die Forderung unter. Es bleibt auch keine Naturalobligation bestehen (BGE 111 V 135 ff. E. 3b; 112 V 185 ff. E. 2; 119 V 298 ff. E. 4a und b; vgl. dazu Attilio Gadola , Verjährung und Verwirkung im öffentlichen Recht, in: Aktuelle Juristische Praxis [AJP] 1995, S. 56). 4.1.2 Aus der Entstehungsgeschichte des § 56 Personaldekret ergibt sich, dass der Landrat zweifellos eine Verwirkungsfrist einführen wollte. Der Titel dieser Bestimmung wurde nämlich explizit von der Vorgängerbestimmung in § 64 im ehemaligen Dekret zum Beamtengesetz vom 17. Mai 1979 von "Verjährungsfrist" in "Verwirkungsfrist" umbenannt. Damit ist davon auszugehen, dass der Landrat sich bewusst war, dass allfällige vermögensrechtliche Ansprüche der Mitarbeiterinnen und Mitarbeiter gegenüber dem Kanton aus dem Arbeitsverhältnis verwirken und nicht verjähren sollten und dies auch so gewollt war. 4.1.3 Des Weiteren bringt der Beschwerdeführer vor, dass es sich bei den Verwirkungsfristen um wichtige Bestimmungen handelt, die auf Gesetzesstufe zu regeln seien. Die Bestimmung von § 56 Personaldekret sei nicht im formellen Gesetzgebungsverfahren, sondern in einer Vollziehungsverordnung zum Personalgesetz und deshalb nicht wie gefordert vom Gesetzgeber erlassen worden. § 36 Abs. 1 KV bestimmt, dass die Befugnis zum Erlass grundlegender und wichtiger Bestimmungen vom Gesetzgeber nicht auf andere Organe übertragen werden dürfe. Des Weiteren hält § 67 Abs. 1 lit. d KV fest, dass der Landrat die vom Kanton ausgerichteten Besoldungen, Pensionen und Ruhegehälter regelt. Da die Kantonsverfassung selbst den Landrat ermächtigt, die Besoldung der Kantonsangestellten umfassend zu regeln, ist zweifellos davon auszugehen, dass der Landrat damit auch befugt ist, selbst zu bestimmen, ob solche vermögensrechtlichen Ansprüche verjähren oder verwirken. Die Frage, ob es sich bei der Regelung von Verjährungs- und Verwirkungsfristen bzw. bei der Änderung einer Verjährungsin eine Verwirkungsfrist, um eine grundlegende und wichtige Bestimmung im Sinne von § 36 KV handelt, kann demzufolge offen gelassen werden. Somit ergibt sich, dass § 56 Personaldekret eine Verwirkungsfrist statuiert und demzufolge vermögensrechtliche Ansprüche der Mitarbeiterinnen und Mitarbeiter gegenüber dem Kanton aus dem Arbeitsverhältnis innert eines Jahres, nachdem die Mitarbeiterin oder der Mitarbeiter von der Möglichkeit eines Anspruchs Kenntnis erhalten hat, spätestens aber vor Ablauf von fünf Jahren seit ihrer Entstehung, geltend gemacht werden können. Werden diese Fristen nicht eingehalten, so sind diese vermögensrechtlichen Ansprüche verwirkt.</w:t>
      </w:r>
    </w:p>
    <w:p>
      <w:r>
        <w:rPr>
          <w:b/>
        </w:rPr>
        <w:t>E. 4.2</w:t>
      </w:r>
    </w:p>
    <w:p>
      <w:r>
        <w:t>Spätestens mit Inkraftsetzung der revidierten Bestimmungen der Verordnung zur Arbeitszeit am 1. Januar 2009 – mit welchen geregelt wurde, dass Inkonvenienzzulagen ausdrücklich bei der Berechnung des Ferienlohns zu berücksichtigen sind – hat die Möglichkeit bestanden von einem allfälligen Anspruch im Sinne der im vorliegenden Verfahren geltend gemachten Forderung Kenntnis zu erhalten. Damit hat die Verwirkungsfrist zu laufen begonnen. Da die Verwirkungsfrist nicht unterbrochen werden kann, ist die Verwirkung eingetreten, da Gespräche zwischen den Personalverbänden und der Verwaltung in Bezug auf rückwirkende Berücksichtigung der Inkonvenienzzulagen bei der Berechnung des Ferienlohnes erst im Jahre 2010 stattfanden. Die Frage, ob solche generellen Gespräche geeignet sind, als Geltendmachung der vermögensrechtlichen Ansprüche des Beschwerdeführers im Sinne von § 56 des Personaldekrets behandelt zu werden, kann – da die Gespräche jedenfalls erst mehr als ein Jahr nach dem 1. Januar 2009 stattfanden – offen gelassen werden. Der Beschwerdeführer selbst hat seine Ansprüche erst mit Schreiben vom 25. November 2010 geltend gemacht und damit ebenfalls mehr als ein Jahr, nach dem die Möglichkeit bestanden hat, von den fraglichen Ansprüchen Kenntnis zu erhalten. Damit ergibt sich, dass die geltend gemachten Ansprüche jedenfalls verwirkt sind, weshalb die vorliegende Beschwerde abzuweisen ist.</w:t>
      </w:r>
    </w:p>
    <w:p>
      <w:r>
        <w:rPr>
          <w:b/>
        </w:rPr>
        <w:t>E. 5</w:t>
      </w:r>
    </w:p>
    <w:p>
      <w:r>
        <w:t>Es bleibt über die Kosten zu befinden. Gemäss § 20 Abs. 1 VPO ist das Verfahren vor Kantonsgericht kostenpflichtig. Die Verfahrenskosten umfassen die Gerichtsgebühren und die Beweiskosten und werden in der Regel und in angemessenem Ausmass ganz oder teilweise der unterliegenden Partei – im vorliegenden Fall dem Beschwerdeführer – auferlegt (§ 20 Abs. 3 VPO) und mit dem geleisteten Kostenvorschuss verrechnet. Die ausserordentlichen Kosten werden wettgeschlagen (vgl. § 21 Abs. 1 VPO). Demgemäss wird e r k a n n t : 1. Die Beschwerde wird abgewiesen. 2. Die Verfahrenskosten in der Höhe von Fr. 1'400.-- (inkl. Auslagen) gehen zu Lasten des Beschwerdeführers und werden mit dem geleisteten Kostenvorschuss in der Höhe von Fr. 1'400.-- verrechnet. 3. Die ausserordentlichen 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